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80" w:line="240" w:lineRule="auto"/>
        <w:ind w:left="0" w:right="0" w:firstLine="0"/>
        <w:jc w:val="center"/>
        <w:rPr>
          <w:rFonts w:ascii="Calibri" w:cs="Calibri" w:hAnsi="Calibri" w:eastAsia="Calibri"/>
          <w:sz w:val="40"/>
          <w:szCs w:val="40"/>
          <w:rtl w:val="0"/>
        </w:rPr>
      </w:pPr>
      <w:r>
        <w:rPr>
          <w:rFonts w:ascii="Calibri" w:hAnsi="Calibri"/>
          <w:sz w:val="40"/>
          <w:szCs w:val="40"/>
          <w:rtl w:val="0"/>
          <w:lang w:val="en-US"/>
        </w:rPr>
        <w:t>[Club name]</w:t>
      </w:r>
    </w:p>
    <w:p>
      <w:pPr>
        <w:pStyle w:val="Default"/>
        <w:bidi w:val="0"/>
        <w:spacing w:before="0" w:after="80" w:line="240" w:lineRule="auto"/>
        <w:ind w:left="0" w:right="0" w:firstLine="0"/>
        <w:jc w:val="center"/>
        <w:rPr>
          <w:rFonts w:ascii="Calibri" w:cs="Calibri" w:hAnsi="Calibri" w:eastAsia="Calibri"/>
          <w:sz w:val="40"/>
          <w:szCs w:val="40"/>
          <w:rtl w:val="0"/>
        </w:rPr>
      </w:pPr>
      <w:r>
        <w:rPr>
          <w:rFonts w:ascii="Calibri" w:hAnsi="Calibri"/>
          <w:sz w:val="40"/>
          <w:szCs w:val="40"/>
          <w:rtl w:val="0"/>
          <w:lang w:val="en-US"/>
        </w:rPr>
        <w:t>CHILD PROTECTION POLICY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2"/>
          <w:szCs w:val="32"/>
          <w:rtl w:val="0"/>
        </w:rPr>
      </w:pP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Policy Statement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[Club name]</w:t>
      </w:r>
      <w:r>
        <w:rPr>
          <w:rFonts w:ascii="Calibri" w:hAnsi="Calibri"/>
          <w:sz w:val="24"/>
          <w:szCs w:val="24"/>
          <w:rtl w:val="0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(hereafter </w:t>
      </w:r>
      <w:r>
        <w:rPr>
          <w:rFonts w:ascii="Calibri" w:hAnsi="Calibri" w:hint="default"/>
          <w:sz w:val="24"/>
          <w:szCs w:val="24"/>
          <w:rtl w:val="0"/>
          <w:lang w:val="en-US"/>
        </w:rPr>
        <w:t>‘</w:t>
      </w:r>
      <w:r>
        <w:rPr>
          <w:rFonts w:ascii="Calibri" w:hAnsi="Calibri"/>
          <w:sz w:val="24"/>
          <w:szCs w:val="24"/>
          <w:rtl w:val="0"/>
          <w:lang w:val="en-US"/>
        </w:rPr>
        <w:t>the club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) </w:t>
      </w:r>
      <w:r>
        <w:rPr>
          <w:rFonts w:ascii="Calibri" w:hAnsi="Calibri"/>
          <w:sz w:val="24"/>
          <w:szCs w:val="24"/>
          <w:rtl w:val="0"/>
          <w:lang w:val="en-US"/>
        </w:rPr>
        <w:t>is fully committed to safeguarding the well-being of all members. Every individual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should at all times show respect and understanding for members</w:t>
      </w:r>
      <w:r>
        <w:rPr>
          <w:rFonts w:ascii="Calibri" w:hAnsi="Calibri" w:hint="default"/>
          <w:sz w:val="24"/>
          <w:szCs w:val="24"/>
          <w:rtl w:val="1"/>
        </w:rPr>
        <w:t xml:space="preserve">’ </w:t>
      </w:r>
      <w:r>
        <w:rPr>
          <w:rFonts w:ascii="Calibri" w:hAnsi="Calibri"/>
          <w:sz w:val="24"/>
          <w:szCs w:val="24"/>
          <w:rtl w:val="0"/>
          <w:lang w:val="en-US"/>
        </w:rPr>
        <w:t>rights, safety and welfare and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conduct themselves in a way that reflects the principles of the organisation and the guidelines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contained in the Code of Ethics and Good Practice for Children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</w:rPr>
        <w:t>s Sport.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fr-FR"/>
        </w:rPr>
        <w:t>Introduction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The club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believes that: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the welfare of any child is paramount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anyone, whatever their age, gender, family status, religion, disability, and/or race (including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race, colour, nationality or ethnic or national origins) has the right to protection from abuse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all suspicions and allegations of abuse and poor practice must and will be taken seriously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and responded to swiftly and appropriately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pt-PT"/>
        </w:rPr>
        <w:t xml:space="preserve">As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an affiliated Fencing Ireland club, we </w:t>
      </w:r>
      <w:r>
        <w:rPr>
          <w:rFonts w:ascii="Calibri" w:hAnsi="Calibri"/>
          <w:sz w:val="24"/>
          <w:szCs w:val="24"/>
          <w:rtl w:val="0"/>
          <w:lang w:val="en-US"/>
        </w:rPr>
        <w:t>are responsible for overseeing the adoption and the implementation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of the Code of Ethics and Good Practice for Children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Sport, by our members. To maximise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compliance with the Code, as set out in Section 2.6 we shall: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ensure that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we follow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the Code of Ethics and Good Practice for Children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de-DE"/>
        </w:rPr>
        <w:t xml:space="preserve">s Sport </w:t>
      </w:r>
      <w:r>
        <w:rPr>
          <w:rFonts w:ascii="Calibri" w:hAnsi="Calibri"/>
          <w:sz w:val="24"/>
          <w:szCs w:val="24"/>
          <w:rtl w:val="0"/>
          <w:lang w:val="en-US"/>
        </w:rPr>
        <w:t>in all club activities.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amend, as necessary, our Constitution to reflect a safe and clearly defined method of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recruiting, selecting and managing.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appoint a Children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Officer/Designated Person.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ensure that effective disciplinary, complaints and appeals procedures are in place.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have in place procedures for dealing with a concern or complaint made to the Statutory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Authorities against a committee member or a Sports Leader. Regulations should stipulate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that a Sports Leader who is the subject of an allegation, which has been reported to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Statutory Authorities, should stand aside while the matter is being examined. S/he should be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invited to resume full duties when and if appropriate internal disciplinary procedures are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completed.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where children are involved in </w:t>
      </w:r>
      <w:r>
        <w:rPr>
          <w:rFonts w:ascii="Calibri" w:hAnsi="Calibri"/>
          <w:sz w:val="24"/>
          <w:szCs w:val="24"/>
          <w:rtl w:val="0"/>
          <w:lang w:val="en-US"/>
        </w:rPr>
        <w:t>club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teams, designate an appropriate senior officer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within </w:t>
      </w:r>
      <w:r>
        <w:rPr>
          <w:rFonts w:ascii="Calibri" w:hAnsi="Calibri"/>
          <w:sz w:val="24"/>
          <w:szCs w:val="24"/>
          <w:rtl w:val="0"/>
          <w:lang w:val="en-US"/>
        </w:rPr>
        <w:t>the club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as the person with responsibility for following the guidelines of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</w:rPr>
        <w:t>Code.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review our child protection procedures regularly through open discussion with our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members,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Fencing Ireland,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and Statutory Authorities.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examine and take appropriate action in response to any reports or observations of unusual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incidents (high rate of transfers, dropouts) </w:t>
      </w:r>
      <w:r>
        <w:rPr>
          <w:rFonts w:ascii="Calibri" w:hAnsi="Calibri"/>
          <w:sz w:val="24"/>
          <w:szCs w:val="24"/>
          <w:rtl w:val="0"/>
          <w:lang w:val="en-US"/>
        </w:rPr>
        <w:t>within the club membership and report these reports or observations to Fencing Ireland.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Everyone in the Irish Fencing Community has a duty of care to safeguard children involved in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activities from harm. Everyone has a right to protection, and the needs of disabled children and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others who may be particularly vulnerable must be considered. [Club name] will do their utmost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to ensure the safety and protection of all everyone involved in any fencing activity whether that is at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clubs, events competition, trips, activity sessions or anywhere else that fencing takes place.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fr-FR"/>
        </w:rPr>
        <w:t>Definitions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Child</w:t>
      </w:r>
      <w:r>
        <w:rPr>
          <w:rFonts w:ascii="Calibri" w:hAnsi="Calibri"/>
          <w:sz w:val="24"/>
          <w:szCs w:val="24"/>
          <w:rtl w:val="0"/>
          <w:lang w:val="en-US"/>
        </w:rPr>
        <w:t>: For the purposes of these policies, a child is any person under 18 years of age.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Position of Trust</w:t>
      </w:r>
      <w:r>
        <w:rPr>
          <w:rFonts w:ascii="Calibri" w:hAnsi="Calibri"/>
          <w:sz w:val="24"/>
          <w:szCs w:val="24"/>
          <w:rtl w:val="0"/>
          <w:lang w:val="en-US"/>
        </w:rPr>
        <w:t>: refers to anyone with a position of responsibility over a child.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Sports Leaders</w:t>
      </w:r>
      <w:r>
        <w:rPr>
          <w:rFonts w:ascii="Calibri" w:hAnsi="Calibri"/>
          <w:sz w:val="24"/>
          <w:szCs w:val="24"/>
          <w:rtl w:val="0"/>
          <w:lang w:val="en-US"/>
        </w:rPr>
        <w:t>: For the purpose of this Code and all associated policies, all adults involved in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children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sport are referred to as Sports Leaders. All have a role to play in ensuring that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nl-NL"/>
        </w:rPr>
        <w:t>procedures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as described in the Code are put in place, agreed, followed and reviewed on a regular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</w:rPr>
        <w:t>basis.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principal leadership roles (some of which overlap) include the following: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Club/Organisation Officers: President, Chairperson, Secretary, Treasurer and Committee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members are appointed to oversee club activities and the development of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fr-FR"/>
        </w:rPr>
        <w:t>club/organisation.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Administrators: While administrators may not be actively involved in children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sport, they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may be involved in organising activities and events.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Coach/Trainer: A coach is a person who assists the young participant to develop his or her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skills and abilities in a progressive way.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Instructor: Instructors are involved in the systematic development of the core skills and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abilities of an activity, sometimes in a non-competitive context.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Mentor: A mentor is an individual who undertakes an overseeing role with a group of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participants under 18 years of age, often in co-operation with other mentors.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Selector: A selector is an individual who has responsibility for the selection of participants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under 18 years of age for teams and events.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Official: An official is an individual charged with the responsibility of ensuring that the rules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of an activity are adhered to in a formal way. This category includes referees, DTs, armoury,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</w:rPr>
        <w:t>etc.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Assistants: Assistants are those people who provide back-up to any of the roles outlined in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this section and often such assistants are involved on an intermittent basis (e.g. provision of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lifts to matches or competitions; checking equipment, etc.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Definitions of Abuse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There are four main types of abuse. These are: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Physical Abuse</w:t>
      </w:r>
      <w:r>
        <w:rPr>
          <w:rFonts w:ascii="Calibri" w:hAnsi="Calibri" w:hint="default"/>
          <w:sz w:val="24"/>
          <w:szCs w:val="24"/>
          <w:rtl w:val="0"/>
        </w:rPr>
        <w:t xml:space="preserve"> – </w:t>
      </w:r>
      <w:r>
        <w:rPr>
          <w:rFonts w:ascii="Calibri" w:hAnsi="Calibri"/>
          <w:sz w:val="24"/>
          <w:szCs w:val="24"/>
          <w:rtl w:val="0"/>
          <w:lang w:val="en-US"/>
        </w:rPr>
        <w:t>this may involve hitting, shaking, throwing, poisoning, burning or scalding,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drowning, suffocating, or otherwise causing physical harm to a child. Physical harm may also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be caused when a parent or carer fabricates the symptoms of, or deliberately induces,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illness in a child. Examples of physical abuse in sport may be when a child is forced into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training and competition that exceeds the capacity of his or her immature and growing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body; or where a child is given drugs to enhance performance or delay puberty.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Sexual Abuse</w:t>
      </w:r>
      <w:r>
        <w:rPr>
          <w:rFonts w:ascii="Calibri" w:hAnsi="Calibri" w:hint="default"/>
          <w:sz w:val="24"/>
          <w:szCs w:val="24"/>
          <w:rtl w:val="0"/>
        </w:rPr>
        <w:t xml:space="preserve"> – </w:t>
      </w:r>
      <w:r>
        <w:rPr>
          <w:rFonts w:ascii="Calibri" w:hAnsi="Calibri"/>
          <w:sz w:val="24"/>
          <w:szCs w:val="24"/>
          <w:rtl w:val="0"/>
          <w:lang w:val="en-US"/>
        </w:rPr>
        <w:t>involves forcing or enticing a child or young person to take part in sexual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activities, including prostitution, whether or not the child is aware of what is happening.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activities may involve physical contact, including penetrative (e.g. rape, buggery or oral sex)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or non- penetrative acts. They may include non-contact activities, such as involving children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in looking at, or in the production of, sexual online images, watching sexual activities, or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encouraging children to behave in sexually inappropriate ways. In sport, coaching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techniques that involve physical contact with children can potentially create situations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where sexual abuse may go unnoticed. The power of the coach over young performers, if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misused, may also lead to abusive situations developing.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Emotional Abuse</w:t>
      </w:r>
      <w:r>
        <w:rPr>
          <w:rFonts w:ascii="Calibri" w:hAnsi="Calibri" w:hint="default"/>
          <w:sz w:val="24"/>
          <w:szCs w:val="24"/>
          <w:rtl w:val="0"/>
        </w:rPr>
        <w:t xml:space="preserve"> – </w:t>
      </w:r>
      <w:r>
        <w:rPr>
          <w:rFonts w:ascii="Calibri" w:hAnsi="Calibri"/>
          <w:sz w:val="24"/>
          <w:szCs w:val="24"/>
          <w:rtl w:val="0"/>
          <w:lang w:val="en-US"/>
        </w:rPr>
        <w:t>is the persistent emotional maltreatment of a child such as to cause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severe and persistent adverse effects on the child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emotional development. It may involve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conveying to children that they are worthless or unloved, inadequate, or valued only insofar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as they meet the needs of another person. It may feature age or developmentally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inappropriate expectations being imposed on children. These may include interactions that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are beyond the child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developmental capability, as well as overprotection and limitation of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exploration and learning, or preventing the child participating in normal social interaction. It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may involve seeing or hearing the ill-treatment of another. It may involve serious bullying,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causing children frequently to feel frightened or in danger, or the exploitation or corruption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of children. Some level of emotional abuse is involved in all types of maltreatment of a child,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though it may occur alone. Examples of emotional abuse in sport include subjecting children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to constant criticism, name calling, and sarcasm or bullying. Putting them under consistent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pressure to perform to unrealistically high standards is also a form of emotional abuse.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Neglect</w:t>
      </w:r>
      <w:r>
        <w:rPr>
          <w:rFonts w:ascii="Calibri" w:hAnsi="Calibri" w:hint="default"/>
          <w:sz w:val="24"/>
          <w:szCs w:val="24"/>
          <w:rtl w:val="0"/>
        </w:rPr>
        <w:t xml:space="preserve"> – </w:t>
      </w:r>
      <w:r>
        <w:rPr>
          <w:rFonts w:ascii="Calibri" w:hAnsi="Calibri"/>
          <w:sz w:val="24"/>
          <w:szCs w:val="24"/>
          <w:rtl w:val="0"/>
          <w:lang w:val="en-US"/>
        </w:rPr>
        <w:t>the persistent failure to meet a child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basis physical and/or psychological needs,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likely to result in the serious impairment of the child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health or development. Neglect may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occur during pregnancy as a result of maternal substance misuse. Once a child is born,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neglect may involve a parent or carer failing to: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Provide adequate food, clothing or shelter (including exclusion from home or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abandonment)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Protect a child from physical harm and emotional harm or danger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Ensure adequate supervision (including the use of inadequate care </w:t>
      </w:r>
      <w:r>
        <w:rPr>
          <w:rFonts w:ascii="Calibri" w:hAnsi="Calibri" w:hint="default"/>
          <w:sz w:val="24"/>
          <w:szCs w:val="24"/>
          <w:rtl w:val="0"/>
        </w:rPr>
        <w:t xml:space="preserve">– </w:t>
      </w:r>
      <w:r>
        <w:rPr>
          <w:rFonts w:ascii="Calibri" w:hAnsi="Calibri"/>
          <w:sz w:val="24"/>
          <w:szCs w:val="24"/>
          <w:rtl w:val="0"/>
          <w:lang w:val="da-DK"/>
        </w:rPr>
        <w:t>givers)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Ensure access to appropriate medical care or treatment. It may also include neglect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of, or unresponsiveness to, a child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basic emotional needs.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Examples of neglect in sport could include: not ensuring children are safe; exposing them to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undue cold or heat, or exposing them to unnecessary risk of injury.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40"/>
          <w:szCs w:val="40"/>
          <w:rtl w:val="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en-US"/>
        </w:rPr>
        <w:t>Child Abuse Concerns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Signs of Child Abuse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Signs of abuse can be physical, behavioural or developmental.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A cluster or pattern of signs is the most reliable indicator of abuse. Indicators should be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noted. It is important, however, to realise that all of these indicators can occur in other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situations where abuse has not been a factor, and that the list is not exhaustive.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38"/>
        <w:gridCol w:w="3646"/>
        <w:gridCol w:w="3646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2338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Calibri" w:hAnsi="Calibri"/>
                <w:sz w:val="24"/>
                <w:szCs w:val="24"/>
                <w:rtl w:val="0"/>
              </w:rPr>
              <w:t>Category of abuse</w:t>
            </w:r>
          </w:p>
        </w:tc>
        <w:tc>
          <w:tcPr>
            <w:tcW w:type="dxa" w:w="729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Calibri" w:hAnsi="Calibri"/>
                <w:sz w:val="24"/>
                <w:szCs w:val="24"/>
                <w:rtl w:val="0"/>
              </w:rPr>
              <w:t>Indicators</w:t>
            </w:r>
          </w:p>
        </w:tc>
      </w:tr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2338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</w:tcPr>
          <w:p/>
        </w:tc>
        <w:tc>
          <w:tcPr>
            <w:tcW w:type="dxa" w:w="3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Calibri" w:hAnsi="Calibri"/>
                <w:sz w:val="24"/>
                <w:szCs w:val="24"/>
                <w:rtl w:val="0"/>
              </w:rPr>
              <w:t>Physical</w:t>
            </w:r>
          </w:p>
        </w:tc>
        <w:tc>
          <w:tcPr>
            <w:tcW w:type="dxa" w:w="3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Calibri" w:hAnsi="Calibri"/>
                <w:sz w:val="24"/>
                <w:szCs w:val="24"/>
                <w:rtl w:val="0"/>
              </w:rPr>
              <w:t>Behavioural</w:t>
            </w:r>
          </w:p>
        </w:tc>
      </w:tr>
      <w:tr>
        <w:tblPrEx>
          <w:shd w:val="clear" w:color="auto" w:fill="auto"/>
        </w:tblPrEx>
        <w:trPr>
          <w:trHeight w:val="858" w:hRule="atLeast"/>
        </w:trPr>
        <w:tc>
          <w:tcPr>
            <w:tcW w:type="dxa" w:w="233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Physical</w:t>
            </w:r>
          </w:p>
        </w:tc>
        <w:tc>
          <w:tcPr>
            <w:tcW w:type="dxa" w:w="364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Unexplained bruising in soft tissues areas</w:t>
            </w:r>
          </w:p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Bites, burns, and scalds</w:t>
            </w:r>
          </w:p>
        </w:tc>
        <w:tc>
          <w:tcPr>
            <w:tcW w:type="dxa" w:w="364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Becoming withdrawn or aggressive</w:t>
            </w:r>
          </w:p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Reluctance to change clothes</w:t>
            </w:r>
          </w:p>
        </w:tc>
      </w:tr>
      <w:tr>
        <w:tblPrEx>
          <w:shd w:val="clear" w:color="auto" w:fill="auto"/>
        </w:tblPrEx>
        <w:trPr>
          <w:trHeight w:val="554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Emotional</w:t>
            </w:r>
          </w:p>
        </w:tc>
        <w:tc>
          <w:tcPr>
            <w:tcW w:type="dxa" w:w="3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Drop in performance</w:t>
            </w:r>
          </w:p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Crying</w:t>
            </w:r>
          </w:p>
        </w:tc>
        <w:tc>
          <w:tcPr>
            <w:tcW w:type="dxa" w:w="3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Regressive behaviour</w:t>
            </w:r>
          </w:p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Excessive clinginess</w:t>
            </w:r>
          </w:p>
        </w:tc>
      </w:tr>
      <w:tr>
        <w:tblPrEx>
          <w:shd w:val="clear" w:color="auto" w:fill="auto"/>
        </w:tblPrEx>
        <w:trPr>
          <w:trHeight w:val="554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Neglect</w:t>
            </w:r>
          </w:p>
        </w:tc>
        <w:tc>
          <w:tcPr>
            <w:tcW w:type="dxa" w:w="3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Weight loss</w:t>
            </w:r>
          </w:p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Untreated fractures</w:t>
            </w:r>
          </w:p>
        </w:tc>
        <w:tc>
          <w:tcPr>
            <w:tcW w:type="dxa" w:w="3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Changes in attendance</w:t>
            </w:r>
          </w:p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Reluctance to go home</w:t>
            </w:r>
          </w:p>
        </w:tc>
      </w:tr>
      <w:tr>
        <w:tblPrEx>
          <w:shd w:val="clear" w:color="auto" w:fill="auto"/>
        </w:tblPrEx>
        <w:trPr>
          <w:trHeight w:val="854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Sexual</w:t>
            </w:r>
          </w:p>
        </w:tc>
        <w:tc>
          <w:tcPr>
            <w:tcW w:type="dxa" w:w="3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Torn or bloodstained clothing</w:t>
            </w:r>
          </w:p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Inappropriate sexual awareness, behaviour, or language</w:t>
            </w:r>
          </w:p>
        </w:tc>
        <w:tc>
          <w:tcPr>
            <w:tcW w:type="dxa" w:w="3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Distrustful of adults</w:t>
            </w:r>
          </w:p>
          <w:p>
            <w:pPr>
              <w:pStyle w:val="Table Style 2"/>
            </w:pPr>
            <w:r>
              <w:rPr>
                <w:rFonts w:ascii="Calibri" w:hAnsi="Calibri"/>
                <w:sz w:val="24"/>
                <w:szCs w:val="24"/>
                <w:rtl w:val="0"/>
              </w:rPr>
              <w:t>Sudden drop in performance</w:t>
            </w:r>
          </w:p>
        </w:tc>
      </w:tr>
    </w:tbl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Responding to Disclosure, Suspicions and Allegations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[Club name] accepts that organisations which include young people among its members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are vulnerable to the occurrence of child abuse. Below are the procedures for dealing with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any welfare or protection issue that may arise. Child welfare and the protection of young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people is the concern of all adults at all times, irrespective of their role within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fr-FR"/>
        </w:rPr>
        <w:t>organisation.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If there are grounds for concern about the safety or welfare of a young person you should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react to the concern. Persons unsure about whether or not certain behaviours are abusive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and therefore reportable, should contact the Club Children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 Officer or the </w:t>
      </w:r>
      <w:r>
        <w:rPr>
          <w:rFonts w:ascii="Calibri" w:hAnsi="Calibri"/>
          <w:sz w:val="24"/>
          <w:szCs w:val="24"/>
          <w:rtl w:val="0"/>
          <w:lang w:val="en-US"/>
        </w:rPr>
        <w:t>Fencing Ireland Safeguarding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Officer. Grounds for concern include a specific indication from a child, a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statement from a person who witnessed abuse or an illness, injury or behaviour consistent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with abuse.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A report may be made by any member in the club but should be passed on to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Designated Person, who may in turn have to pass the concern to the local Statutory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Authorities. It is not the responsibility of anyone working within [Club name], in a paid or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voluntary capacity, or those working in affiliated organisations, to take responsibility or to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decide whether or not child abuse is taking place. That is the job of the local Statutory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Authorities. However, there is a responsibility to protect children by assisting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appropriate agencies so that they can then make enquiries and take any necessary action to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protect the young person.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Everyone should follow the procedures outlined below, firstly the procedure for responding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to a child in distress and secondly the procedure for reporting the concern.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Response to a Child Disclosing Abuse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 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When a young person discloses information of suspected abuse you should: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deal with any allegation of abuse in a sensitive manner through listening to the child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rather than interviewing the child about details of what happened.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stay calm and not show any extreme reaction to what the child is saying. Listen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compassionately and take what the child is saying seriously.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understand that the child has decided to tell something very important and has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taken a risk to do so. The experience of telling must be a positive one so that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child will continue to trust in adults involved in the investigation.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make no judgmental statements about the person whom the allegation is made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against.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not question the child unless the nature of what he or she is saying is unclear.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Leading questions should be avoided. Open, non-specific questions should be used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such as </w:t>
      </w:r>
      <w:r>
        <w:rPr>
          <w:rFonts w:ascii="Calibri" w:hAnsi="Calibri" w:hint="default"/>
          <w:sz w:val="24"/>
          <w:szCs w:val="24"/>
          <w:rtl w:val="1"/>
          <w:lang w:val="ar-SA" w:bidi="ar-SA"/>
        </w:rPr>
        <w:t>“</w:t>
      </w:r>
      <w:r>
        <w:rPr>
          <w:rFonts w:ascii="Calibri" w:hAnsi="Calibri"/>
          <w:sz w:val="24"/>
          <w:szCs w:val="24"/>
          <w:rtl w:val="0"/>
          <w:lang w:val="en-US"/>
        </w:rPr>
        <w:t>Can you explain to me what you mean by that</w:t>
      </w:r>
      <w:r>
        <w:rPr>
          <w:rFonts w:ascii="Calibri" w:hAnsi="Calibri" w:hint="default"/>
          <w:sz w:val="24"/>
          <w:szCs w:val="24"/>
          <w:rtl w:val="0"/>
        </w:rPr>
        <w:t>”</w:t>
      </w:r>
      <w:r>
        <w:rPr>
          <w:rFonts w:ascii="Calibri" w:hAnsi="Calibri"/>
          <w:sz w:val="24"/>
          <w:szCs w:val="24"/>
          <w:rtl w:val="0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check out the concerns with the parents or guardians before making a report unless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doing so would endanger the child or compromise an investigation.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be honest and tell the child that it is not possible that keep information a secret.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give the child some indication of what would happen next, such as informing parents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or guardians, the Health Service Executive or Social Services. The child may have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been threatened and may feel vulnerable so may not want you to inform any other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adult. Listen to the child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concerns but reassure them that this is a necessary step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and will help to keep them safe.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carefully record the details.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reassure the child that they have done the right thing in telling you.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pass on this information to the Designated Person of [Club name].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not confront the alleged abuser yourself before seeking guidance from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Designated Person.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Reporting Suspected or Disclosed Child Abuse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When reporting suspected child abuse to the Statutory Authorities, the following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procedures should be followed: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Observe and note dates, times, locations and contexts in which the incident occurred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or suspicion was aroused, together with any other relevant information.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Report the matter as soon as possible to the designated person with responsibility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for reporting abuse within </w:t>
      </w:r>
      <w:r>
        <w:rPr>
          <w:rFonts w:ascii="Calibri" w:hAnsi="Calibri"/>
          <w:sz w:val="24"/>
          <w:szCs w:val="24"/>
          <w:rtl w:val="0"/>
          <w:lang w:val="en-US"/>
        </w:rPr>
        <w:t>the club</w:t>
      </w:r>
      <w:r>
        <w:rPr>
          <w:rFonts w:ascii="Calibri" w:hAnsi="Calibri"/>
          <w:sz w:val="24"/>
          <w:szCs w:val="24"/>
          <w:rtl w:val="0"/>
          <w:lang w:val="en-US"/>
        </w:rPr>
        <w:t>. If the Designated Person has reasonable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grounds for believing that the child has been abused or is at risk of abuse, he or she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will make a report to the Health Service Executive or Social Services who have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statutory responsibility to investigate and assess suspected or actual child abuse.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The designated person with r</w:t>
      </w:r>
      <w:r>
        <w:rPr>
          <w:rFonts w:ascii="Calibri" w:hAnsi="Calibri"/>
          <w:sz w:val="24"/>
          <w:szCs w:val="24"/>
          <w:rtl w:val="0"/>
          <w:lang w:val="en-US"/>
        </w:rPr>
        <w:t>esponsibility for reporting abuse within the club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will also make a report to the Fencing Ireland Safeguarding Officer.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In cases of emergency, where a child appears to be at immediate and serious risk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and the Designated Person is unable to contact a duty social worker, the Garda</w:t>
      </w:r>
      <w:r>
        <w:rPr>
          <w:rFonts w:ascii="Calibri" w:hAnsi="Calibri" w:hint="default"/>
          <w:sz w:val="24"/>
          <w:szCs w:val="24"/>
          <w:rtl w:val="0"/>
        </w:rPr>
        <w:t xml:space="preserve">í </w:t>
      </w:r>
      <w:r>
        <w:rPr>
          <w:rFonts w:ascii="Calibri" w:hAnsi="Calibri"/>
          <w:sz w:val="24"/>
          <w:szCs w:val="24"/>
          <w:rtl w:val="0"/>
        </w:rPr>
        <w:t>or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police authorities should be contacted. Under no circumstances should a child be left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in a dangerous situation pending intervention by the Statutory Authorities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If the Designated Person is unsure whether reasonable grounds for concern exist he or she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can informally consult with the local health board or social services. The Designated Person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will be advised whether or not the matter requires a formal report.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A Designated Person reporting suspected or actual child abuse to the Statutory Authorities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will first inform the family of their intention to make such a report, unless doing so would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endanger the child or undermine an investigation.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The Protection for Persons Reporting Child Abuse Act, 1998 provides immunity from civi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l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liability to persons who report child abuse </w:t>
      </w:r>
      <w:r>
        <w:rPr>
          <w:rFonts w:ascii="Calibri" w:hAnsi="Calibri" w:hint="default"/>
          <w:sz w:val="24"/>
          <w:szCs w:val="24"/>
          <w:rtl w:val="1"/>
        </w:rPr>
        <w:t>‘</w:t>
      </w:r>
      <w:r>
        <w:rPr>
          <w:rFonts w:ascii="Calibri" w:hAnsi="Calibri"/>
          <w:sz w:val="24"/>
          <w:szCs w:val="24"/>
          <w:rtl w:val="0"/>
          <w:lang w:val="en-US"/>
        </w:rPr>
        <w:t>reasonably and in good faith</w:t>
      </w:r>
      <w:r>
        <w:rPr>
          <w:rFonts w:ascii="Calibri" w:hAnsi="Calibri" w:hint="default"/>
          <w:sz w:val="24"/>
          <w:szCs w:val="24"/>
          <w:rtl w:val="1"/>
        </w:rPr>
        <w:t xml:space="preserve">’ </w:t>
      </w:r>
      <w:r>
        <w:rPr>
          <w:rFonts w:ascii="Calibri" w:hAnsi="Calibri"/>
          <w:sz w:val="24"/>
          <w:szCs w:val="24"/>
          <w:rtl w:val="0"/>
          <w:lang w:val="en-US"/>
        </w:rPr>
        <w:t>to the Health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Service Executive or the Garda</w:t>
      </w:r>
      <w:r>
        <w:rPr>
          <w:rFonts w:ascii="Calibri" w:hAnsi="Calibri" w:hint="default"/>
          <w:sz w:val="24"/>
          <w:szCs w:val="24"/>
          <w:rtl w:val="0"/>
          <w:lang w:val="en-US"/>
        </w:rPr>
        <w:t>í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. The act also covers the offence of </w:t>
      </w:r>
      <w:r>
        <w:rPr>
          <w:rFonts w:ascii="Calibri" w:hAnsi="Calibri" w:hint="default"/>
          <w:sz w:val="24"/>
          <w:szCs w:val="24"/>
          <w:rtl w:val="1"/>
        </w:rPr>
        <w:t>‘</w:t>
      </w:r>
      <w:r>
        <w:rPr>
          <w:rFonts w:ascii="Calibri" w:hAnsi="Calibri"/>
          <w:sz w:val="24"/>
          <w:szCs w:val="24"/>
          <w:rtl w:val="0"/>
          <w:lang w:val="en-US"/>
        </w:rPr>
        <w:t>false reporting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</w:rPr>
        <w:t>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The main provisions of the Act are: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The provision of immunity from civil liability to any person who reports child abuse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 w:hint="default"/>
          <w:sz w:val="24"/>
          <w:szCs w:val="24"/>
          <w:rtl w:val="1"/>
          <w:lang w:val="ar-SA" w:bidi="ar-SA"/>
        </w:rPr>
        <w:t>“</w:t>
      </w:r>
      <w:r>
        <w:rPr>
          <w:rFonts w:ascii="Calibri" w:hAnsi="Calibri"/>
          <w:sz w:val="24"/>
          <w:szCs w:val="24"/>
          <w:rtl w:val="0"/>
          <w:lang w:val="en-US"/>
        </w:rPr>
        <w:t>reasonably and in good faith</w:t>
      </w:r>
      <w:r>
        <w:rPr>
          <w:rFonts w:ascii="Calibri" w:hAnsi="Calibri" w:hint="default"/>
          <w:sz w:val="24"/>
          <w:szCs w:val="24"/>
          <w:rtl w:val="0"/>
        </w:rPr>
        <w:t xml:space="preserve">” </w:t>
      </w:r>
      <w:r>
        <w:rPr>
          <w:rFonts w:ascii="Calibri" w:hAnsi="Calibri"/>
          <w:sz w:val="24"/>
          <w:szCs w:val="24"/>
          <w:rtl w:val="0"/>
          <w:lang w:val="en-US"/>
        </w:rPr>
        <w:t>to designated officers of Health Service Executive or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any member of An Garda Sioch</w:t>
      </w:r>
      <w:r>
        <w:rPr>
          <w:rFonts w:ascii="Calibri" w:hAnsi="Calibri" w:hint="default"/>
          <w:sz w:val="24"/>
          <w:szCs w:val="24"/>
          <w:rtl w:val="0"/>
        </w:rPr>
        <w:t>á</w:t>
      </w:r>
      <w:r>
        <w:rPr>
          <w:rFonts w:ascii="Calibri" w:hAnsi="Calibri"/>
          <w:sz w:val="24"/>
          <w:szCs w:val="24"/>
          <w:rtl w:val="0"/>
        </w:rPr>
        <w:t>na;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The provision of significant protections for employees who report child abuse. These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protections cover all employees and all forms of discrimination up to and including,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dismissal;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The creation of a new offence of false reporting of child abuse where a person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makes a report of child abuse to the appropriate authorities </w:t>
      </w:r>
      <w:r>
        <w:rPr>
          <w:rFonts w:ascii="Calibri" w:hAnsi="Calibri" w:hint="default"/>
          <w:sz w:val="24"/>
          <w:szCs w:val="24"/>
          <w:rtl w:val="1"/>
          <w:lang w:val="ar-SA" w:bidi="ar-SA"/>
        </w:rPr>
        <w:t>“</w:t>
      </w:r>
      <w:r>
        <w:rPr>
          <w:rFonts w:ascii="Calibri" w:hAnsi="Calibri"/>
          <w:sz w:val="24"/>
          <w:szCs w:val="24"/>
          <w:rtl w:val="0"/>
          <w:lang w:val="en-US"/>
        </w:rPr>
        <w:t>knowing that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statement to be false</w:t>
      </w:r>
      <w:r>
        <w:rPr>
          <w:rFonts w:ascii="Calibri" w:hAnsi="Calibri" w:hint="default"/>
          <w:sz w:val="24"/>
          <w:szCs w:val="24"/>
          <w:rtl w:val="0"/>
        </w:rPr>
        <w:t>”</w:t>
      </w:r>
      <w:r>
        <w:rPr>
          <w:rFonts w:ascii="Calibri" w:hAnsi="Calibri"/>
          <w:sz w:val="24"/>
          <w:szCs w:val="24"/>
          <w:rtl w:val="0"/>
          <w:lang w:val="en-US"/>
        </w:rPr>
        <w:t>. This is a new criminal offence designed to protect innocent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persons from malicious reports.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Allegations Against Sports Leaders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The club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has agreed procedures to be followed in cases of alleged child abuse against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Sports Leaders. If such an allegation is made against a Leader working within a club, two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procedures should be followed: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The reporting procedure in respect of suspected child abuse (reported by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designated person), see previous </w:t>
      </w:r>
      <w:r>
        <w:rPr>
          <w:rFonts w:ascii="Calibri" w:hAnsi="Calibri"/>
          <w:sz w:val="24"/>
          <w:szCs w:val="24"/>
          <w:rtl w:val="0"/>
          <w:lang w:val="en-US"/>
        </w:rPr>
        <w:t>section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 w:hint="default"/>
          <w:sz w:val="24"/>
          <w:szCs w:val="24"/>
          <w:rtl w:val="0"/>
        </w:rPr>
        <w:t xml:space="preserve">• </w:t>
      </w:r>
      <w:r>
        <w:rPr>
          <w:rFonts w:ascii="Calibri" w:hAnsi="Calibri"/>
          <w:sz w:val="24"/>
          <w:szCs w:val="24"/>
          <w:rtl w:val="0"/>
          <w:lang w:val="en-US"/>
        </w:rPr>
        <w:t>The procedure for dealing with the Sports Leader (carried by out by the Chairperson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of </w:t>
      </w:r>
      <w:r>
        <w:rPr>
          <w:rFonts w:ascii="Calibri" w:hAnsi="Calibri"/>
          <w:sz w:val="24"/>
          <w:szCs w:val="24"/>
          <w:rtl w:val="0"/>
          <w:lang w:val="en-US"/>
        </w:rPr>
        <w:t>the club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or a senior officer, or a person not already involved with the child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fr-FR"/>
        </w:rPr>
        <w:t>protection concern)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The safety of the child making the allegation and any others who are or may be at risk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should be ensured and this should take precedence over any other consideration. In this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regard, the club should take any steps which may be immediately necessary to protect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child.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The issue of confidentiality is important. Information is on a need to know basis and all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parties should be treated with respect and fairness.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The Reporting Procedure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If the designated person has reasonable grounds for concern, the matter should be reported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to the local health board or social services, following standard reporting procedures.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The Sports Leader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While the Designated Person makes the report to the local health board, the Chairperson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should deal with the Leader in question.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The Chair should privately inform the leader that (a) an allegation has been made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against them and (b) the nature of the allegation. He or she should be afforded an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opportunity to respond. His or her response should be noted and passed on to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health board or social services.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The Leader will be asked to step aside pending the outcome of the investigation.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When a person is asked to step aside it should be made clear that it is only a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precautionary measure and will not prejudice any later disciplinary proceedings.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[Club name]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may consider disciplinary action on the Leader but should ensure that this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does not interfere with the investigation of the Statutory Authorities. It is important tha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t </w:t>
      </w:r>
      <w:r>
        <w:rPr>
          <w:rFonts w:ascii="Calibri" w:hAnsi="Calibri"/>
          <w:sz w:val="24"/>
          <w:szCs w:val="24"/>
          <w:rtl w:val="0"/>
          <w:lang w:val="en-US"/>
        </w:rPr>
        <w:t>consideration be taken of the outcome of the investigation and any implications it might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have. The fact that the alleged abuser has not been prosecuted or been found guilty does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not mean that they are appropriate to work with young people in the future.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Confidentiality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  <w:lang w:val="en-US"/>
        </w:rPr>
        <w:t>Confidentiality will be maintained in respect of all issues and people involved in cases of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abuse, welfare or bad practice. It is important that the rights of both the child and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person about whom the complaint has been made are protected.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bidi w:val="0"/>
        <w:spacing w:before="0" w:after="8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The following points should be kept in mind: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 guarantee of confidentiality or undertakings regarding secrecy cannot be given as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the welfare of the child will supersede all other considerations.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All information should be treated in a careful and sensitive manner and should be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discussed only with those who need to know.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Information should be conveyed to the parents or guardians of the child in a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sensitive way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Giving information to others on a </w:t>
      </w:r>
      <w:r>
        <w:rPr>
          <w:rFonts w:ascii="Calibri" w:hAnsi="Calibri" w:hint="default"/>
          <w:sz w:val="24"/>
          <w:szCs w:val="24"/>
          <w:rtl w:val="1"/>
        </w:rPr>
        <w:t>‘</w:t>
      </w:r>
      <w:r>
        <w:rPr>
          <w:rFonts w:ascii="Calibri" w:hAnsi="Calibri"/>
          <w:sz w:val="24"/>
          <w:szCs w:val="24"/>
          <w:rtl w:val="0"/>
          <w:lang w:val="en-US"/>
        </w:rPr>
        <w:t>need to know</w:t>
      </w:r>
      <w:r>
        <w:rPr>
          <w:rFonts w:ascii="Calibri" w:hAnsi="Calibri" w:hint="default"/>
          <w:sz w:val="24"/>
          <w:szCs w:val="24"/>
          <w:rtl w:val="1"/>
        </w:rPr>
        <w:t xml:space="preserve">’ </w:t>
      </w:r>
      <w:r>
        <w:rPr>
          <w:rFonts w:ascii="Calibri" w:hAnsi="Calibri"/>
          <w:sz w:val="24"/>
          <w:szCs w:val="24"/>
          <w:rtl w:val="0"/>
          <w:lang w:val="en-US"/>
        </w:rPr>
        <w:t>basis for the protection of a child is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not a breach of confidentiality.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All persons involved in a child protection process (the child, his or her parents or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guardians, the alleged offender, his or her family and Fencing Leaders) should be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afforded appropriate respect, fairness, support and confidentiality at all stages of the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procedure.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Information should be stored in a secure place, with limited access only to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designated people.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The requirements of the Data Protection Policy should be adhered to.</w:t>
      </w:r>
    </w:p>
    <w:p>
      <w:pPr>
        <w:pStyle w:val="Default"/>
        <w:numPr>
          <w:ilvl w:val="0"/>
          <w:numId w:val="2"/>
        </w:numPr>
        <w:bidi w:val="0"/>
        <w:spacing w:before="0" w:after="80" w:line="240" w:lineRule="auto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Breach of confidentiality is a serious manner.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aleway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Raleway" w:cs="Arial Unicode MS" w:hAnsi="Raleway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Raleway" w:cs="Raleway" w:hAnsi="Raleway" w:eastAsia="Raleway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Raleway" w:cs="Raleway" w:hAnsi="Raleway" w:eastAsia="Ralewa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Raleway"/>
        <a:ea typeface="Raleway"/>
        <a:cs typeface="Raleway"/>
      </a:majorFont>
      <a:minorFont>
        <a:latin typeface="Raleway"/>
        <a:ea typeface="Raleway"/>
        <a:cs typeface="Raleway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Ralew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alew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